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i w:val="1"/>
          <w:color w:val="0000ff"/>
          <w:sz w:val="28"/>
          <w:rtl w:val="0"/>
        </w:rPr>
        <w:t xml:space="preserve">Assessment Data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48"/>
          <w:rtl w:val="0"/>
        </w:rPr>
        <w:t xml:space="preserve">“Write About” Data Table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128"/>
        <w:gridCol w:w="1393"/>
        <w:gridCol w:w="3407"/>
        <w:gridCol w:w="1284"/>
        <w:gridCol w:w="1148"/>
      </w:tblGrid>
      <w:tr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Student Initials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Summary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(50%)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Content Vocabulary (30%)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Drawing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(20%)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Total</w:t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(100%)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K.B. &amp; L.I.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30%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70%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K.P. &amp; J.M.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15%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55%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J.W. &amp; L.S.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50%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30%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100%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D.S. &amp; T. M.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45%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25%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90%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J.N. &amp; J.O.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10%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15%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45%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M.S. &amp; N.R.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40%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80%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J.T. &amp; K.P.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50%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30%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100%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A.M. &amp; E.P.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25%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30%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75%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D.V. &amp; H. M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50%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30%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100%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E.S. &amp; T. B.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50%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25%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95%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A. R. &amp; V. M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50%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30%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100%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N. W. &amp; C.T.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45%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25%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20%</w:t>
            </w:r>
          </w:p>
        </w:tc>
        <w:tc>
          <w:tcPr/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90%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About Data Table.docx</dc:title>
</cp:coreProperties>
</file>